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8686" w14:textId="54CB34C2" w:rsidR="005A1E4A" w:rsidRDefault="005A1E4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783E393" wp14:editId="66F63CD1">
            <wp:simplePos x="0" y="0"/>
            <wp:positionH relativeFrom="column">
              <wp:posOffset>3792076</wp:posOffset>
            </wp:positionH>
            <wp:positionV relativeFrom="paragraph">
              <wp:posOffset>-442643</wp:posOffset>
            </wp:positionV>
            <wp:extent cx="2516409" cy="590550"/>
            <wp:effectExtent l="0" t="0" r="0" b="0"/>
            <wp:wrapNone/>
            <wp:docPr id="1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49FF" w14:textId="1F977758" w:rsidR="009F76A7" w:rsidRDefault="009F76A7">
      <w:pPr>
        <w:rPr>
          <w:b/>
          <w:bCs/>
          <w:sz w:val="28"/>
          <w:szCs w:val="28"/>
          <w:u w:val="single"/>
        </w:rPr>
      </w:pPr>
      <w:r w:rsidRPr="00E81B8C">
        <w:rPr>
          <w:b/>
          <w:bCs/>
          <w:sz w:val="28"/>
          <w:szCs w:val="28"/>
          <w:u w:val="single"/>
        </w:rPr>
        <w:t xml:space="preserve">Finance Report </w:t>
      </w:r>
      <w:r w:rsidR="005A1E4A">
        <w:rPr>
          <w:b/>
          <w:bCs/>
          <w:sz w:val="28"/>
          <w:szCs w:val="28"/>
          <w:u w:val="single"/>
        </w:rPr>
        <w:t xml:space="preserve">for Council Meeting, </w:t>
      </w:r>
      <w:r w:rsidR="002741B5">
        <w:rPr>
          <w:b/>
          <w:bCs/>
          <w:sz w:val="28"/>
          <w:szCs w:val="28"/>
          <w:u w:val="single"/>
        </w:rPr>
        <w:t>21</w:t>
      </w:r>
      <w:r w:rsidR="002741B5" w:rsidRPr="002741B5">
        <w:rPr>
          <w:b/>
          <w:bCs/>
          <w:sz w:val="28"/>
          <w:szCs w:val="28"/>
          <w:u w:val="single"/>
          <w:vertAlign w:val="superscript"/>
        </w:rPr>
        <w:t>st</w:t>
      </w:r>
      <w:r w:rsidR="002741B5">
        <w:rPr>
          <w:b/>
          <w:bCs/>
          <w:sz w:val="28"/>
          <w:szCs w:val="28"/>
          <w:u w:val="single"/>
        </w:rPr>
        <w:t xml:space="preserve"> </w:t>
      </w:r>
      <w:r w:rsidR="006A5BCA">
        <w:rPr>
          <w:b/>
          <w:bCs/>
          <w:sz w:val="28"/>
          <w:szCs w:val="28"/>
          <w:u w:val="single"/>
        </w:rPr>
        <w:t>Ju</w:t>
      </w:r>
      <w:r w:rsidR="002741B5">
        <w:rPr>
          <w:b/>
          <w:bCs/>
          <w:sz w:val="28"/>
          <w:szCs w:val="28"/>
          <w:u w:val="single"/>
        </w:rPr>
        <w:t>ly</w:t>
      </w:r>
      <w:r w:rsidR="00E81B8C" w:rsidRPr="00E81B8C">
        <w:rPr>
          <w:b/>
          <w:bCs/>
          <w:sz w:val="28"/>
          <w:szCs w:val="28"/>
          <w:u w:val="single"/>
        </w:rPr>
        <w:t xml:space="preserve"> 2025</w:t>
      </w:r>
    </w:p>
    <w:p w14:paraId="1B600FB4" w14:textId="4850B15E" w:rsidR="00827A5A" w:rsidRDefault="00827A5A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827A5A">
        <w:rPr>
          <w:b/>
          <w:bCs/>
          <w:u w:val="single"/>
        </w:rPr>
        <w:t>Cash at Bank</w:t>
      </w:r>
      <w:r>
        <w:rPr>
          <w:b/>
          <w:bCs/>
          <w:u w:val="single"/>
        </w:rPr>
        <w:t xml:space="preserve"> </w:t>
      </w:r>
      <w:proofErr w:type="gramStart"/>
      <w:r w:rsidRPr="00827A5A">
        <w:rPr>
          <w:b/>
          <w:bCs/>
          <w:u w:val="single"/>
        </w:rPr>
        <w:t>at</w:t>
      </w:r>
      <w:proofErr w:type="gramEnd"/>
      <w:r w:rsidRPr="00827A5A">
        <w:rPr>
          <w:b/>
          <w:bCs/>
          <w:u w:val="single"/>
        </w:rPr>
        <w:t xml:space="preserve"> </w:t>
      </w:r>
      <w:r w:rsidR="006A5BCA">
        <w:rPr>
          <w:b/>
          <w:bCs/>
          <w:u w:val="single"/>
        </w:rPr>
        <w:t>3</w:t>
      </w:r>
      <w:r w:rsidR="002741B5">
        <w:rPr>
          <w:b/>
          <w:bCs/>
          <w:u w:val="single"/>
        </w:rPr>
        <w:t>0</w:t>
      </w:r>
      <w:r w:rsidR="002741B5" w:rsidRPr="002741B5">
        <w:rPr>
          <w:b/>
          <w:bCs/>
          <w:u w:val="single"/>
          <w:vertAlign w:val="superscript"/>
        </w:rPr>
        <w:t>th</w:t>
      </w:r>
      <w:r w:rsidRPr="00827A5A">
        <w:rPr>
          <w:b/>
          <w:bCs/>
          <w:u w:val="single"/>
        </w:rPr>
        <w:t xml:space="preserve"> </w:t>
      </w:r>
      <w:r w:rsidR="002741B5">
        <w:rPr>
          <w:b/>
          <w:bCs/>
          <w:u w:val="single"/>
        </w:rPr>
        <w:t>June</w:t>
      </w:r>
      <w:r w:rsidR="006A5BCA">
        <w:rPr>
          <w:b/>
          <w:bCs/>
          <w:u w:val="single"/>
        </w:rPr>
        <w:t xml:space="preserve"> 2025</w:t>
      </w:r>
      <w:r w:rsidRPr="00827A5A">
        <w:rPr>
          <w:b/>
          <w:bCs/>
          <w:u w:val="single"/>
        </w:rPr>
        <w:t xml:space="preserve"> </w:t>
      </w:r>
    </w:p>
    <w:p w14:paraId="683ADA6F" w14:textId="77777777" w:rsidR="00CE4BFA" w:rsidRP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1650"/>
      </w:tblGrid>
      <w:tr w:rsidR="00827A5A" w14:paraId="314322C4" w14:textId="77777777" w:rsidTr="00827A5A">
        <w:tc>
          <w:tcPr>
            <w:tcW w:w="6646" w:type="dxa"/>
            <w:tcBorders>
              <w:bottom w:val="single" w:sz="4" w:space="0" w:color="auto"/>
            </w:tcBorders>
          </w:tcPr>
          <w:p w14:paraId="539BBAB0" w14:textId="2E2B5D9D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Account: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855DE70" w14:textId="4A8BF0C5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E5693" w14:paraId="7A2E381D" w14:textId="77777777" w:rsidTr="0082212F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779975E4" w14:textId="719D680A" w:rsidR="003E5693" w:rsidRPr="00CE4BFA" w:rsidRDefault="003E5693" w:rsidP="003E5693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Great Boughton Council Current Account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B0FA" w14:textId="325FF664" w:rsidR="003E5693" w:rsidRPr="00CE4BFA" w:rsidRDefault="003E5693" w:rsidP="003E5693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£116,190.37</w:t>
            </w:r>
          </w:p>
        </w:tc>
      </w:tr>
      <w:tr w:rsidR="003E5693" w14:paraId="1AE7CFCA" w14:textId="77777777" w:rsidTr="0082212F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5A2BB3CF" w14:textId="759F2D40" w:rsidR="003E5693" w:rsidRPr="00CE4BFA" w:rsidRDefault="003E5693" w:rsidP="003E5693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Josh Jumps Saving Account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DEF07" w14:textId="01F09514" w:rsidR="003E5693" w:rsidRPr="00CE4BFA" w:rsidRDefault="003E5693" w:rsidP="003E5693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£9,502.61</w:t>
            </w:r>
          </w:p>
        </w:tc>
      </w:tr>
      <w:tr w:rsidR="003E5693" w14:paraId="23701725" w14:textId="77777777" w:rsidTr="0082212F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4A1B2F9B" w14:textId="10161B58" w:rsidR="003E5693" w:rsidRPr="00CE4BFA" w:rsidRDefault="003E5693" w:rsidP="003E5693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National Saving &amp; Investments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2221" w14:textId="1345F0AB" w:rsidR="003E5693" w:rsidRPr="00CE4BFA" w:rsidRDefault="003E5693" w:rsidP="003E5693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3E5693" w14:paraId="00DE8332" w14:textId="77777777" w:rsidTr="003E5693">
        <w:tc>
          <w:tcPr>
            <w:tcW w:w="6646" w:type="dxa"/>
          </w:tcPr>
          <w:p w14:paraId="081054FB" w14:textId="099FB68D" w:rsidR="003E5693" w:rsidRPr="00CE4BFA" w:rsidRDefault="003E5693" w:rsidP="003E5693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598C585" w14:textId="64428B1C" w:rsidR="003E5693" w:rsidRPr="00571860" w:rsidRDefault="003E5693" w:rsidP="003E569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F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£162,848.23</w:t>
            </w:r>
          </w:p>
        </w:tc>
      </w:tr>
      <w:tr w:rsidR="0019597D" w14:paraId="62B4E49B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0CBB8AB9" w14:textId="77777777" w:rsidR="0019597D" w:rsidRPr="00CE4BFA" w:rsidRDefault="0019597D" w:rsidP="0019597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58CBD" w14:textId="77777777" w:rsidR="0019597D" w:rsidRPr="00CE4BFA" w:rsidRDefault="0019597D" w:rsidP="0019597D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4B82" w:rsidRPr="00A54B82" w14:paraId="3C3A3100" w14:textId="77777777" w:rsidTr="00BF19C7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1E34A10A" w14:textId="2740AF29" w:rsidR="00A54B82" w:rsidRPr="00CE4BFA" w:rsidRDefault="00A54B82" w:rsidP="00A54B82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Vicars Cross Community Centre Current Account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B1C1" w14:textId="58265DB2" w:rsidR="00A54B82" w:rsidRPr="00A54B82" w:rsidRDefault="00A54B82" w:rsidP="00A54B82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A54B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£26,857.10</w:t>
            </w:r>
          </w:p>
        </w:tc>
      </w:tr>
    </w:tbl>
    <w:p w14:paraId="28384752" w14:textId="250CAF1E" w:rsidR="00827A5A" w:rsidRPr="00827A5A" w:rsidRDefault="00827A5A" w:rsidP="00827A5A">
      <w:pPr>
        <w:rPr>
          <w:b/>
          <w:bCs/>
        </w:rPr>
      </w:pPr>
    </w:p>
    <w:p w14:paraId="7E924C8E" w14:textId="41BCD62E" w:rsidR="00827A5A" w:rsidRPr="0019597D" w:rsidRDefault="00827A5A" w:rsidP="00827A5A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9597D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Receipts and Payments over £100</w:t>
      </w:r>
    </w:p>
    <w:p w14:paraId="1E850E31" w14:textId="34DAD1E8" w:rsidR="0019597D" w:rsidRPr="00827A5A" w:rsidRDefault="00827A5A" w:rsidP="00827A5A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following payments and receipts of over £100 have been made under delegated authority </w:t>
      </w:r>
      <w:r w:rsidR="001959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during April 2025. </w:t>
      </w: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>  (Bank statements are available on request from the Interim Clerk</w:t>
      </w:r>
      <w:r w:rsidRPr="00827A5A">
        <w:rPr>
          <w:rStyle w:val="eop"/>
          <w:rFonts w:ascii="Arial" w:hAnsi="Arial" w:cs="Arial"/>
          <w:color w:val="000000"/>
          <w:shd w:val="clear" w:color="auto" w:fill="FFFFFF"/>
        </w:rPr>
        <w:t>)</w:t>
      </w:r>
    </w:p>
    <w:p w14:paraId="5233E40F" w14:textId="18485996" w:rsidR="00827A5A" w:rsidRPr="00827A5A" w:rsidRDefault="00827A5A" w:rsidP="00827A5A">
      <w:pPr>
        <w:pStyle w:val="ListParagraph"/>
        <w:rPr>
          <w:b/>
          <w:bCs/>
          <w:u w:val="single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300"/>
        <w:gridCol w:w="2220"/>
        <w:gridCol w:w="2580"/>
        <w:gridCol w:w="2220"/>
        <w:gridCol w:w="1560"/>
      </w:tblGrid>
      <w:tr w:rsidR="007C47CE" w:rsidRPr="007C47CE" w14:paraId="01AECC8E" w14:textId="77777777" w:rsidTr="007C47CE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6ABA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3F74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35E9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ED48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C17E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Receipts</w:t>
            </w:r>
          </w:p>
        </w:tc>
      </w:tr>
      <w:tr w:rsidR="007C47CE" w:rsidRPr="007C47CE" w14:paraId="17EE14F6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588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0C1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LONDON HEARTS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50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Defib Box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7C3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676.99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4B2DA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53C4BA5F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AF3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DFD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PAYROLL PQR SHIRES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837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Payroll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FA3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4428.38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28E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2C98932A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BEE8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F71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EA0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</w:t>
            </w:r>
            <w:proofErr w:type="gramEnd"/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Being Grant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264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5303E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01966323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786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4A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VXCC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63F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Wage Contribution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39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9D67E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1546.22</w:t>
            </w:r>
          </w:p>
        </w:tc>
      </w:tr>
      <w:tr w:rsidR="007C47CE" w:rsidRPr="007C47CE" w14:paraId="578899F3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482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DAF2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 LANDSCAPE CONTRA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25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Grounds Maintenance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55B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0E547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65DA8B6F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238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09/06/2025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A40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NEST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CCD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Pension Contribution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D1D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208.64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76CF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3E5397D8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FEC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81B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690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VAT Reclaim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B9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4B47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3591.75</w:t>
            </w:r>
          </w:p>
        </w:tc>
      </w:tr>
      <w:tr w:rsidR="007C47CE" w:rsidRPr="007C47CE" w14:paraId="40E7F21E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406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9C0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MALCOLM BATE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A73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Maintenance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ADB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190.45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1BCB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23DE83B8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BA8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EF1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MALCOLM BATE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541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Litter Picking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96D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8F2FB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78A7259F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FFA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443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 SQUIRREL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B08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Dulverton Tree Removal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0B2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778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6105CCF0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2BB7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523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 SQUIRREL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866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Thackeray Court Cutting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BDF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1A68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25F3164B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621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EBE3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 SQUIRREL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3BE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Thackeray Forest Clearing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8A9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7707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36E82429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169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E501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GAS Lite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49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Old Laundry Corner Electric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5AF8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579.06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9078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1FA419E5" w14:textId="77777777" w:rsidTr="007C47CE">
        <w:trPr>
          <w:trHeight w:val="2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0733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BE3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BOTANICA LANDSCAPE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B53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Grounds Maintenance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10D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27A8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47CE" w:rsidRPr="007C47CE" w14:paraId="612E2BE0" w14:textId="77777777" w:rsidTr="007C47CE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311" w14:textId="77777777" w:rsidR="007C47CE" w:rsidRPr="007C47CE" w:rsidRDefault="007C47CE" w:rsidP="007C47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26/06/2025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1F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SARAH TYSON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45E" w14:textId="4933090A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Queens Gate Locking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51D" w14:textId="77777777" w:rsidR="007C47CE" w:rsidRPr="007C47CE" w:rsidRDefault="007C47CE" w:rsidP="007C47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070A5" w14:textId="77777777" w:rsidR="007C47CE" w:rsidRPr="007C47CE" w:rsidRDefault="007C47CE" w:rsidP="007C47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47C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C81BF8" w14:textId="77777777" w:rsidR="00827A5A" w:rsidRPr="00AC505C" w:rsidRDefault="00827A5A">
      <w:pPr>
        <w:rPr>
          <w:sz w:val="28"/>
          <w:szCs w:val="28"/>
        </w:rPr>
      </w:pPr>
    </w:p>
    <w:p w14:paraId="11D4AFAE" w14:textId="680B7F35" w:rsidR="0019597D" w:rsidRPr="00AC505C" w:rsidRDefault="00AC505C">
      <w:r w:rsidRPr="00AC505C">
        <w:t xml:space="preserve">British Gas Lite </w:t>
      </w:r>
      <w:r w:rsidR="000546DB">
        <w:t xml:space="preserve">payment of £579.06 is based on an estimated charge from Lod </w:t>
      </w:r>
      <w:proofErr w:type="spellStart"/>
      <w:r w:rsidR="000546DB">
        <w:t>Laundr</w:t>
      </w:r>
      <w:proofErr w:type="spellEnd"/>
      <w:r w:rsidR="000546DB">
        <w:t xml:space="preserve"> Corner as </w:t>
      </w:r>
      <w:proofErr w:type="gramStart"/>
      <w:r w:rsidR="000546DB">
        <w:t>there</w:t>
      </w:r>
      <w:proofErr w:type="gramEnd"/>
      <w:r w:rsidR="000546DB">
        <w:t xml:space="preserve"> systems have failed and are not processing smart meter readings correctly. This has been challenged and correct monthly payment is actually £26</w:t>
      </w:r>
      <w:r w:rsidR="0019597D" w:rsidRPr="00AC505C">
        <w:br w:type="page"/>
      </w:r>
    </w:p>
    <w:p w14:paraId="6BDE443B" w14:textId="1AC58454" w:rsidR="00E81B8C" w:rsidRDefault="000A7386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 xml:space="preserve">Great Boughton Council: </w:t>
      </w:r>
      <w:r w:rsidR="009F76A7" w:rsidRPr="00CE4BFA">
        <w:rPr>
          <w:b/>
          <w:bCs/>
          <w:u w:val="single"/>
        </w:rPr>
        <w:t xml:space="preserve">Bank Reconciliation for </w:t>
      </w:r>
      <w:r w:rsidR="003E5693">
        <w:rPr>
          <w:b/>
          <w:bCs/>
          <w:u w:val="single"/>
        </w:rPr>
        <w:t>First Quarter</w:t>
      </w:r>
      <w:r w:rsidR="00B3603E">
        <w:rPr>
          <w:b/>
          <w:bCs/>
          <w:u w:val="single"/>
        </w:rPr>
        <w:t xml:space="preserve"> </w:t>
      </w:r>
      <w:r w:rsidR="009F76A7" w:rsidRPr="00CE4BFA">
        <w:rPr>
          <w:b/>
          <w:bCs/>
          <w:u w:val="single"/>
        </w:rPr>
        <w:t xml:space="preserve">- Ending </w:t>
      </w:r>
      <w:r w:rsidR="00B3603E">
        <w:rPr>
          <w:b/>
          <w:bCs/>
          <w:u w:val="single"/>
        </w:rPr>
        <w:t>3</w:t>
      </w:r>
      <w:r w:rsidR="003E5693">
        <w:rPr>
          <w:b/>
          <w:bCs/>
          <w:u w:val="single"/>
        </w:rPr>
        <w:t>0</w:t>
      </w:r>
      <w:r w:rsidR="003E5693" w:rsidRPr="003E5693">
        <w:rPr>
          <w:b/>
          <w:bCs/>
          <w:u w:val="single"/>
          <w:vertAlign w:val="superscript"/>
        </w:rPr>
        <w:t>th</w:t>
      </w:r>
      <w:r w:rsidR="003E5693">
        <w:rPr>
          <w:b/>
          <w:bCs/>
          <w:u w:val="single"/>
        </w:rPr>
        <w:t xml:space="preserve"> June</w:t>
      </w:r>
      <w:r w:rsidR="00B3603E">
        <w:rPr>
          <w:b/>
          <w:bCs/>
          <w:u w:val="single"/>
        </w:rPr>
        <w:t xml:space="preserve"> 2025</w:t>
      </w:r>
    </w:p>
    <w:p w14:paraId="16ACA22C" w14:textId="77777777" w:rsidR="00CE4BFA" w:rsidRDefault="00CE4BFA" w:rsidP="00CE4BFA">
      <w:pPr>
        <w:pStyle w:val="ListParagraph"/>
        <w:rPr>
          <w:b/>
          <w:bCs/>
          <w:u w:val="single"/>
        </w:rPr>
      </w:pPr>
    </w:p>
    <w:p w14:paraId="5E83A342" w14:textId="77777777" w:rsidR="00253D6B" w:rsidRDefault="00253D6B" w:rsidP="00CE4BFA">
      <w:pPr>
        <w:pStyle w:val="ListParagraph"/>
        <w:rPr>
          <w:b/>
          <w:bCs/>
          <w:u w:val="single"/>
        </w:rPr>
      </w:pPr>
    </w:p>
    <w:tbl>
      <w:tblPr>
        <w:tblW w:w="655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06"/>
        <w:gridCol w:w="1766"/>
        <w:gridCol w:w="222"/>
        <w:gridCol w:w="1919"/>
      </w:tblGrid>
      <w:tr w:rsidR="00BD0F19" w:rsidRPr="00BD0F19" w14:paraId="2D8BBF73" w14:textId="77777777" w:rsidTr="00BD0F19">
        <w:trPr>
          <w:trHeight w:val="255"/>
        </w:trPr>
        <w:tc>
          <w:tcPr>
            <w:tcW w:w="6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106C" w14:textId="77777777" w:rsidR="00BD0F19" w:rsidRPr="00BD0F19" w:rsidRDefault="00BD0F19" w:rsidP="00BD0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GREAT BOUGHTON PARISH COUNCIL </w:t>
            </w:r>
          </w:p>
        </w:tc>
      </w:tr>
      <w:tr w:rsidR="00BD0F19" w:rsidRPr="00BD0F19" w14:paraId="2CD77404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6BCD" w14:textId="77777777" w:rsidR="00BD0F19" w:rsidRPr="00BD0F19" w:rsidRDefault="00BD0F19" w:rsidP="00BD0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8D2F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2BA0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D0F19" w:rsidRPr="00BD0F19" w14:paraId="3C00F647" w14:textId="77777777" w:rsidTr="00BD0F19">
        <w:trPr>
          <w:trHeight w:val="465"/>
        </w:trPr>
        <w:tc>
          <w:tcPr>
            <w:tcW w:w="6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8A7D97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BD0F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BD0F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30th June 2025</w:t>
            </w:r>
          </w:p>
        </w:tc>
      </w:tr>
      <w:tr w:rsidR="00BD0F19" w:rsidRPr="00BD0F19" w14:paraId="63BB7487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4D544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65284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705C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D0F19" w:rsidRPr="00BD0F19" w14:paraId="6ED3487D" w14:textId="77777777" w:rsidTr="00BD0F19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4998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0AF0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64DF0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8C53B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D0F1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£88,744.31</w:t>
            </w:r>
          </w:p>
        </w:tc>
      </w:tr>
      <w:tr w:rsidR="00BD0F19" w:rsidRPr="00BD0F19" w14:paraId="69A3B93F" w14:textId="77777777" w:rsidTr="00BD0F19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0DE5E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98D5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717AC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D15D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D0F1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£108,498.83</w:t>
            </w:r>
          </w:p>
        </w:tc>
      </w:tr>
      <w:tr w:rsidR="00BD0F19" w:rsidRPr="00BD0F19" w14:paraId="0AC4ACDC" w14:textId="77777777" w:rsidTr="00BD0F19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68545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38AAD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C3D2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393D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£34,394.91</w:t>
            </w:r>
          </w:p>
        </w:tc>
      </w:tr>
      <w:tr w:rsidR="00BD0F19" w:rsidRPr="00BD0F19" w14:paraId="42283DAD" w14:textId="77777777" w:rsidTr="00BD0F19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82347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2CD7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B09F9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4F6A7571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F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£162,848.23</w:t>
            </w:r>
          </w:p>
        </w:tc>
      </w:tr>
      <w:tr w:rsidR="00BD0F19" w:rsidRPr="00BD0F19" w14:paraId="2F0A3CB2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F695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78B6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BC01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D0F19" w:rsidRPr="00BD0F19" w14:paraId="6E829782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3355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2656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07EA4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4BC5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£116,190.37</w:t>
            </w:r>
          </w:p>
        </w:tc>
      </w:tr>
      <w:tr w:rsidR="00BD0F19" w:rsidRPr="00BD0F19" w14:paraId="2D25904D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B595A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FA6BE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Josh's Jumps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80B8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2E771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£9,502.61</w:t>
            </w:r>
          </w:p>
        </w:tc>
      </w:tr>
      <w:tr w:rsidR="00BD0F19" w:rsidRPr="00BD0F19" w14:paraId="2C98CA87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DA0EF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A4D3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Savings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70EBE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4B91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BD0F19" w:rsidRPr="00BD0F19" w14:paraId="71D2536E" w14:textId="77777777" w:rsidTr="00BD0F19">
        <w:trPr>
          <w:trHeight w:val="255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6725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D0F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7E8EE" w14:textId="77777777" w:rsidR="00BD0F19" w:rsidRPr="00BD0F19" w:rsidRDefault="00BD0F19" w:rsidP="00BD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FE147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D0F19" w:rsidRPr="00BD0F19" w14:paraId="3BAC074B" w14:textId="77777777" w:rsidTr="00BD0F19">
        <w:trPr>
          <w:trHeight w:val="30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9FB8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719F4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83BF" w14:textId="77777777" w:rsidR="00BD0F19" w:rsidRPr="00BD0F19" w:rsidRDefault="00BD0F19" w:rsidP="00BD0F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0A3BFB" w14:textId="77777777" w:rsidR="00BD0F19" w:rsidRPr="00BD0F19" w:rsidRDefault="00BD0F19" w:rsidP="00BD0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D0F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£162,848.23</w:t>
            </w:r>
          </w:p>
        </w:tc>
      </w:tr>
    </w:tbl>
    <w:p w14:paraId="00D00779" w14:textId="77777777" w:rsidR="00253D6B" w:rsidRPr="00BD0F19" w:rsidRDefault="00253D6B" w:rsidP="00BD0F19">
      <w:pPr>
        <w:rPr>
          <w:b/>
          <w:bCs/>
          <w:u w:val="single"/>
        </w:rPr>
      </w:pPr>
    </w:p>
    <w:p w14:paraId="06678969" w14:textId="77777777" w:rsidR="00D44C4A" w:rsidRPr="00D44C4A" w:rsidRDefault="00D44C4A" w:rsidP="00D44C4A">
      <w:pPr>
        <w:rPr>
          <w:b/>
          <w:bCs/>
          <w:u w:val="single"/>
        </w:rPr>
      </w:pPr>
    </w:p>
    <w:p w14:paraId="2678C766" w14:textId="2EF4242A" w:rsidR="00CE4BFA" w:rsidRDefault="007D5041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GBPC</w:t>
      </w:r>
      <w:r w:rsidR="00CE4BFA" w:rsidRPr="00CE4BFA">
        <w:rPr>
          <w:b/>
          <w:bCs/>
          <w:u w:val="single"/>
        </w:rPr>
        <w:t xml:space="preserve">: Actual Spend vs Budget Figures </w:t>
      </w:r>
      <w:r>
        <w:rPr>
          <w:b/>
          <w:bCs/>
          <w:u w:val="single"/>
        </w:rPr>
        <w:t xml:space="preserve">for </w:t>
      </w:r>
      <w:r w:rsidR="00D26C22">
        <w:rPr>
          <w:b/>
          <w:bCs/>
          <w:u w:val="single"/>
        </w:rPr>
        <w:t>First Quarter</w:t>
      </w:r>
      <w:r>
        <w:rPr>
          <w:b/>
          <w:bCs/>
          <w:u w:val="single"/>
        </w:rPr>
        <w:t xml:space="preserve">, </w:t>
      </w:r>
      <w:r w:rsidRPr="00CE4BFA">
        <w:rPr>
          <w:b/>
          <w:bCs/>
          <w:u w:val="single"/>
        </w:rPr>
        <w:t xml:space="preserve">Ending </w:t>
      </w:r>
      <w:r w:rsidR="00D44C4A">
        <w:rPr>
          <w:b/>
          <w:bCs/>
          <w:u w:val="single"/>
        </w:rPr>
        <w:t>3</w:t>
      </w:r>
      <w:r w:rsidR="00D26C22">
        <w:rPr>
          <w:b/>
          <w:bCs/>
          <w:u w:val="single"/>
        </w:rPr>
        <w:t>0</w:t>
      </w:r>
      <w:r w:rsidR="00D44C4A">
        <w:rPr>
          <w:b/>
          <w:bCs/>
          <w:u w:val="single"/>
          <w:vertAlign w:val="superscript"/>
        </w:rPr>
        <w:t xml:space="preserve">st </w:t>
      </w:r>
      <w:r w:rsidR="00D26C22">
        <w:rPr>
          <w:b/>
          <w:bCs/>
          <w:u w:val="single"/>
        </w:rPr>
        <w:t>June</w:t>
      </w:r>
    </w:p>
    <w:p w14:paraId="50ADEAEA" w14:textId="6A0B9D7F" w:rsidR="00CE4BFA" w:rsidRDefault="00D26C22" w:rsidP="00D26C22">
      <w:r>
        <w:t xml:space="preserve">NB: </w:t>
      </w:r>
      <w:r w:rsidR="00CE4BFA" w:rsidRPr="00CE4BFA">
        <w:t xml:space="preserve">Council </w:t>
      </w:r>
      <w:r w:rsidR="00CE4BFA">
        <w:t>costs are inflated due to the Annual Subscription Charge for ChALC of £1,592</w:t>
      </w:r>
      <w:r w:rsidR="00D44C4A">
        <w:t xml:space="preserve">, Annual Insurance Payment </w:t>
      </w:r>
      <w:r>
        <w:t>being in the first</w:t>
      </w:r>
      <w:r w:rsidR="00764975">
        <w:t xml:space="preserve"> quarter. Open Spaces will be higher Spring to Summer due to monthly </w:t>
      </w:r>
      <w:r w:rsidR="003E5693">
        <w:t xml:space="preserve">maintenance charges. These pause from October to April. </w:t>
      </w:r>
    </w:p>
    <w:p w14:paraId="0D53CCBB" w14:textId="77777777" w:rsidR="003E5693" w:rsidRPr="003E5693" w:rsidRDefault="003E5693" w:rsidP="00D26C22"/>
    <w:tbl>
      <w:tblPr>
        <w:tblW w:w="97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97"/>
        <w:gridCol w:w="1200"/>
        <w:gridCol w:w="1217"/>
        <w:gridCol w:w="1080"/>
        <w:gridCol w:w="1140"/>
        <w:gridCol w:w="1020"/>
        <w:gridCol w:w="1217"/>
        <w:gridCol w:w="1080"/>
      </w:tblGrid>
      <w:tr w:rsidR="00D26C22" w:rsidRPr="00D26C22" w14:paraId="6E903974" w14:textId="77777777" w:rsidTr="00D26C22">
        <w:trPr>
          <w:trHeight w:val="46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5F642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Summary Spend 25/26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E844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F4B93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1C31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832F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E4D75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61DD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2564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26C22" w:rsidRPr="00D26C22" w14:paraId="7FE1DE55" w14:textId="77777777" w:rsidTr="00D26C22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905F6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667AB8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EC235" w14:textId="77777777" w:rsidR="00D26C22" w:rsidRPr="00D26C22" w:rsidRDefault="00D26C22" w:rsidP="00D2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ED2B2B" w14:textId="77777777" w:rsidR="00D26C22" w:rsidRPr="00D26C22" w:rsidRDefault="00D26C22" w:rsidP="00D2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9DE823" w14:textId="77777777" w:rsidR="00D26C22" w:rsidRPr="00D26C22" w:rsidRDefault="00D26C22" w:rsidP="00D2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DF668C" w14:textId="77777777" w:rsidR="00D26C22" w:rsidRPr="00D26C22" w:rsidRDefault="00D26C22" w:rsidP="00D2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6DEEEA" w14:textId="77777777" w:rsidR="00D26C22" w:rsidRPr="00D26C22" w:rsidRDefault="00D26C22" w:rsidP="00D2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7349C5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D26C22" w:rsidRPr="00D26C22" w14:paraId="780495F2" w14:textId="77777777" w:rsidTr="00D26C2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14:paraId="171B65EE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22977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40,100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7113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6C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9,607.37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7E49B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EE11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E142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48E12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£9,607.37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B345D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24%</w:t>
            </w:r>
          </w:p>
        </w:tc>
      </w:tr>
      <w:tr w:rsidR="00D26C22" w:rsidRPr="00D26C22" w14:paraId="302D0F7E" w14:textId="77777777" w:rsidTr="00D26C2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62F94DA9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 costs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54A3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C5F6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6,639.76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046981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03C1A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E7ACE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9DDA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£6,639.76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98CE3E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48%</w:t>
            </w:r>
          </w:p>
        </w:tc>
      </w:tr>
      <w:tr w:rsidR="00D26C22" w:rsidRPr="00D26C22" w14:paraId="065D32EF" w14:textId="77777777" w:rsidTr="00D26C2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4BB82F10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Facilites</w:t>
            </w:r>
            <w:proofErr w:type="spellEnd"/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F24DEE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48A7D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1,237.06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ADF6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73F6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63AE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08F6B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£1,237.06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ED5832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</w:tr>
      <w:tr w:rsidR="00D26C22" w:rsidRPr="00D26C22" w14:paraId="01D814B5" w14:textId="77777777" w:rsidTr="00D26C22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077BA37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2F9D15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31,700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04F2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6C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10,112.60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8C9B57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305A3C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026C69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5F65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£10,112.60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C7A37F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32%</w:t>
            </w:r>
          </w:p>
        </w:tc>
      </w:tr>
      <w:tr w:rsidR="00D26C22" w:rsidRPr="00D26C22" w14:paraId="79A6DF23" w14:textId="77777777" w:rsidTr="00D26C2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14:paraId="599F27DD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Comms &amp; Events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92766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6,400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F943EE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1,207.85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AFCD11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AC337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FFFE1B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C42593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£1,207.85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E27B7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19%</w:t>
            </w:r>
          </w:p>
        </w:tc>
      </w:tr>
      <w:tr w:rsidR="00D26C22" w:rsidRPr="00D26C22" w14:paraId="4684E61F" w14:textId="77777777" w:rsidTr="00D26C2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11CB454B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2E0039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CB6A78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C03650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F08828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4525A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F82F25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£17.26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58039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1%</w:t>
            </w:r>
          </w:p>
        </w:tc>
      </w:tr>
      <w:tr w:rsidR="00D26C22" w:rsidRPr="00D26C22" w14:paraId="52ED3333" w14:textId="77777777" w:rsidTr="00D26C2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14:paraId="737CFDD0" w14:textId="77777777" w:rsidR="00D26C22" w:rsidRPr="00D26C22" w:rsidRDefault="00D26C22" w:rsidP="00D2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Projects </w:t>
            </w: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20A81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F9A6BE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7EA37D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52AB6E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877D90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8FF0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8C001D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D26C22" w:rsidRPr="00D26C22" w14:paraId="6BAF4563" w14:textId="77777777" w:rsidTr="00D26C22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D1FD1F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E8870C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£117,850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1A9B4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£28,821.90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285023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96F801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4F50F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A3138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£28,821.90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EF30E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26C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24%</w:t>
            </w:r>
          </w:p>
        </w:tc>
      </w:tr>
      <w:tr w:rsidR="00D26C22" w:rsidRPr="00D26C22" w14:paraId="72FCD685" w14:textId="77777777" w:rsidTr="00D26C22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E55F" w14:textId="77777777" w:rsidR="00D26C22" w:rsidRPr="00D26C22" w:rsidRDefault="00D26C22" w:rsidP="00D26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D317A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BF21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3C77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08C28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D95B9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5C714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212F" w14:textId="77777777" w:rsidR="00D26C22" w:rsidRPr="00D26C22" w:rsidRDefault="00D26C22" w:rsidP="00D26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57B552A" w14:textId="77777777" w:rsidR="00CE4BFA" w:rsidRDefault="00CE4BF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9F40071" w14:textId="30BD7451" w:rsidR="000A7386" w:rsidRPr="00CE4BFA" w:rsidRDefault="000A7386" w:rsidP="000A738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 xml:space="preserve">Vicars Cross Community Centre: Bank Reconciliation for Month </w:t>
      </w:r>
      <w:r w:rsidR="000B0CE3">
        <w:rPr>
          <w:b/>
          <w:bCs/>
          <w:u w:val="single"/>
        </w:rPr>
        <w:t xml:space="preserve">2 </w:t>
      </w:r>
      <w:r w:rsidRPr="00CE4BFA">
        <w:rPr>
          <w:b/>
          <w:bCs/>
          <w:u w:val="single"/>
        </w:rPr>
        <w:t>- Ending 3</w:t>
      </w:r>
      <w:r w:rsidR="000B0CE3">
        <w:rPr>
          <w:b/>
          <w:bCs/>
          <w:u w:val="single"/>
        </w:rPr>
        <w:t>1</w:t>
      </w:r>
      <w:r w:rsidR="000B0CE3" w:rsidRPr="000B0CE3">
        <w:rPr>
          <w:b/>
          <w:bCs/>
          <w:u w:val="single"/>
          <w:vertAlign w:val="superscript"/>
        </w:rPr>
        <w:t>st</w:t>
      </w:r>
      <w:r w:rsidR="000B0CE3">
        <w:rPr>
          <w:b/>
          <w:bCs/>
          <w:u w:val="single"/>
        </w:rPr>
        <w:t xml:space="preserve"> May 2025</w:t>
      </w:r>
      <w:r w:rsidRPr="00CE4BFA">
        <w:rPr>
          <w:b/>
          <w:bCs/>
          <w:u w:val="single"/>
        </w:rPr>
        <w:t xml:space="preserve"> </w:t>
      </w:r>
    </w:p>
    <w:tbl>
      <w:tblPr>
        <w:tblW w:w="6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11"/>
        <w:gridCol w:w="1858"/>
        <w:gridCol w:w="222"/>
        <w:gridCol w:w="1499"/>
      </w:tblGrid>
      <w:tr w:rsidR="00A54B82" w:rsidRPr="00A54B82" w14:paraId="28165D04" w14:textId="77777777" w:rsidTr="00A54B82">
        <w:trPr>
          <w:trHeight w:val="43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4449" w14:textId="77777777" w:rsidR="00A54B82" w:rsidRPr="00A54B82" w:rsidRDefault="00A54B82" w:rsidP="00A5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</w:t>
            </w:r>
          </w:p>
        </w:tc>
      </w:tr>
      <w:tr w:rsidR="00A54B82" w:rsidRPr="00A54B82" w14:paraId="63C032F5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B3AA4" w14:textId="77777777" w:rsidR="00A54B82" w:rsidRPr="00A54B82" w:rsidRDefault="00A54B82" w:rsidP="00A54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9DC3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2292A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21C9A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4B82" w:rsidRPr="00A54B82" w14:paraId="61170BD2" w14:textId="77777777" w:rsidTr="00A54B82">
        <w:trPr>
          <w:trHeight w:val="300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FDA50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A54B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A54B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30th June 2025</w:t>
            </w:r>
          </w:p>
        </w:tc>
      </w:tr>
      <w:tr w:rsidR="00A54B82" w:rsidRPr="00A54B82" w14:paraId="65CF0836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728C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36FC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1805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53AD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4B82" w:rsidRPr="00A54B82" w14:paraId="6F83C5D2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DCD4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895B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047D1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FFC03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54B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24,999.70</w:t>
            </w:r>
          </w:p>
        </w:tc>
      </w:tr>
      <w:tr w:rsidR="00A54B82" w:rsidRPr="00A54B82" w14:paraId="32EE3C67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8F51D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1BB2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646A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0DCC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£19,373.85</w:t>
            </w:r>
          </w:p>
        </w:tc>
      </w:tr>
      <w:tr w:rsidR="00A54B82" w:rsidRPr="00A54B82" w14:paraId="18B53F78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00778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6E72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8DBF6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5053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£17,516.45</w:t>
            </w:r>
          </w:p>
        </w:tc>
      </w:tr>
      <w:tr w:rsidR="00A54B82" w:rsidRPr="00A54B82" w14:paraId="6A8CF5A0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A4BA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C5C60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B502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412CB0F1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54B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£26,857.10</w:t>
            </w:r>
          </w:p>
        </w:tc>
      </w:tr>
      <w:tr w:rsidR="00A54B82" w:rsidRPr="00A54B82" w14:paraId="619F048C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E06E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9A59D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36714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4B99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4B82" w:rsidRPr="00A54B82" w14:paraId="3DB7AE54" w14:textId="77777777" w:rsidTr="00A54B82">
        <w:trPr>
          <w:trHeight w:val="25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E5224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1FC68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CE6A5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F8A5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£26,857.10</w:t>
            </w:r>
          </w:p>
        </w:tc>
      </w:tr>
      <w:tr w:rsidR="00A54B82" w:rsidRPr="00A54B82" w14:paraId="0A11C00F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7A4EE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F2531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27D66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19F86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54B82" w:rsidRPr="00A54B82" w14:paraId="78FFACFB" w14:textId="77777777" w:rsidTr="00A54B82">
        <w:trPr>
          <w:trHeight w:val="25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1B3E6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5E16" w14:textId="77777777" w:rsidR="00A54B82" w:rsidRPr="00A54B82" w:rsidRDefault="00A54B82" w:rsidP="00A54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6288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5F4DD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54B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A54B82" w:rsidRPr="00A54B82" w14:paraId="7B941CDA" w14:textId="77777777" w:rsidTr="00A54B82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C0C34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CD37A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9A5B7" w14:textId="77777777" w:rsidR="00A54B82" w:rsidRPr="00A54B82" w:rsidRDefault="00A54B82" w:rsidP="00A54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67758BE" w14:textId="77777777" w:rsidR="00A54B82" w:rsidRPr="00A54B82" w:rsidRDefault="00A54B82" w:rsidP="00A5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54B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£26,857.10</w:t>
            </w:r>
          </w:p>
        </w:tc>
      </w:tr>
    </w:tbl>
    <w:p w14:paraId="3BB45148" w14:textId="77777777" w:rsidR="000A7386" w:rsidRDefault="000A7386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9AF38D7" w14:textId="77777777" w:rsidR="00087985" w:rsidRDefault="00087985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A785BEC" w14:textId="77777777" w:rsidR="00A54B82" w:rsidRDefault="00A54B82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C348A70" w14:textId="77777777" w:rsidR="00A54B82" w:rsidRDefault="00A54B82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8634D36" w14:textId="77777777" w:rsidR="00087985" w:rsidRPr="000A7386" w:rsidRDefault="00087985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4D08B6D" w14:textId="77777777" w:rsidR="00CE4BFA" w:rsidRDefault="00CE4BFA"/>
    <w:p w14:paraId="23341EC7" w14:textId="3D1303E2" w:rsidR="00CE4BFA" w:rsidRDefault="007D5041" w:rsidP="005A7DF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VXCC</w:t>
      </w:r>
      <w:r w:rsidR="00CE4BFA" w:rsidRPr="00CE4BF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Summary Spend vs Budget for Month </w:t>
      </w:r>
      <w:r w:rsidR="000B0CE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, </w:t>
      </w:r>
      <w:r w:rsidR="00CE4BFA" w:rsidRPr="00CE4BFA">
        <w:rPr>
          <w:b/>
          <w:bCs/>
          <w:u w:val="single"/>
        </w:rPr>
        <w:t xml:space="preserve">Ending </w:t>
      </w:r>
      <w:r w:rsidR="000B0CE3">
        <w:rPr>
          <w:b/>
          <w:bCs/>
          <w:u w:val="single"/>
        </w:rPr>
        <w:t>31</w:t>
      </w:r>
      <w:r w:rsidR="000B0CE3" w:rsidRPr="000B0CE3">
        <w:rPr>
          <w:b/>
          <w:bCs/>
          <w:u w:val="single"/>
          <w:vertAlign w:val="superscript"/>
        </w:rPr>
        <w:t>st</w:t>
      </w:r>
      <w:r w:rsidR="000B0CE3">
        <w:rPr>
          <w:b/>
          <w:bCs/>
          <w:u w:val="single"/>
        </w:rPr>
        <w:t xml:space="preserve"> May</w:t>
      </w:r>
      <w:r w:rsidR="00CE4BFA" w:rsidRPr="00CE4BFA">
        <w:rPr>
          <w:b/>
          <w:bCs/>
          <w:u w:val="single"/>
        </w:rPr>
        <w:t xml:space="preserve"> </w:t>
      </w:r>
    </w:p>
    <w:p w14:paraId="21DCFA3B" w14:textId="77777777" w:rsidR="005A7DFC" w:rsidRPr="005A7DFC" w:rsidRDefault="005A7DFC" w:rsidP="005A7DFC">
      <w:pPr>
        <w:pStyle w:val="ListParagraph"/>
        <w:rPr>
          <w:b/>
          <w:bCs/>
          <w:u w:val="single"/>
        </w:rPr>
      </w:pPr>
    </w:p>
    <w:tbl>
      <w:tblPr>
        <w:tblW w:w="101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19"/>
        <w:gridCol w:w="1280"/>
        <w:gridCol w:w="1217"/>
        <w:gridCol w:w="1060"/>
        <w:gridCol w:w="1040"/>
        <w:gridCol w:w="1001"/>
        <w:gridCol w:w="1360"/>
        <w:gridCol w:w="1120"/>
      </w:tblGrid>
      <w:tr w:rsidR="00BB6D9B" w:rsidRPr="00087985" w14:paraId="2F32D825" w14:textId="77777777" w:rsidTr="00BB6D9B">
        <w:trPr>
          <w:trHeight w:val="46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6A1C9" w14:textId="54293AE8" w:rsidR="00BB6D9B" w:rsidRPr="00087985" w:rsidRDefault="00BB6D9B" w:rsidP="00BB6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VXCC Summary Spend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6B72" w14:textId="596F4AFF" w:rsidR="00BB6D9B" w:rsidRPr="00087985" w:rsidRDefault="00BB6D9B" w:rsidP="00BB6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BC93" w14:textId="77777777" w:rsidR="00BB6D9B" w:rsidRPr="00087985" w:rsidRDefault="00BB6D9B" w:rsidP="00BB6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03CE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DCB7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1B05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4DAE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9F543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6D9B" w:rsidRPr="00087985" w14:paraId="0C20916B" w14:textId="77777777" w:rsidTr="00BB6D9B">
        <w:trPr>
          <w:trHeight w:val="43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ABDE3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737B03" w14:textId="2D929001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Budget 25/26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432237" w14:textId="4811397F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1st Quarter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84890C" w14:textId="033B1858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2nd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8A6EDF" w14:textId="5C414281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3rd Quarter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CC2EDD" w14:textId="17105DA6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4th Quarter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2EA38F" w14:textId="2183BB0B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E458588" w14:textId="28E2664B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to Budget</w:t>
            </w:r>
          </w:p>
        </w:tc>
      </w:tr>
      <w:tr w:rsidR="00BB6D9B" w:rsidRPr="00087985" w14:paraId="26CEBEB9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87775A2" w14:textId="5B0EDF6B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People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8B7CB" w14:textId="1B4E089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CED2" w14:textId="3AF4EAA5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33AA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F7D1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FEE3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2553B" w14:textId="3B665A33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CA18E" w14:textId="58066130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</w:tr>
      <w:tr w:rsidR="00BB6D9B" w:rsidRPr="00087985" w14:paraId="44487465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47775AE" w14:textId="1DB770EC" w:rsidR="00BB6D9B" w:rsidRPr="00087985" w:rsidRDefault="00BB6D9B" w:rsidP="00BB6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VXCC Operating Costs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A7012" w14:textId="740C80A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56E8" w14:textId="73A35CA8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44B921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7EFF54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61946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D47183" w14:textId="2C5B89EC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39BB0" w14:textId="416D153D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</w:tr>
      <w:tr w:rsidR="00BB6D9B" w:rsidRPr="00087985" w14:paraId="42030488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2AA62F25" w14:textId="4A48D920" w:rsidR="00BB6D9B" w:rsidRPr="00087985" w:rsidRDefault="00BB6D9B" w:rsidP="00BB6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Utilities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6B59DC" w14:textId="120B11CB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632855" w14:textId="660CD313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35CC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A2AE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E9AB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F113A5" w14:textId="4C7D190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B8891" w14:textId="0F3918F1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</w:tr>
      <w:tr w:rsidR="00BB6D9B" w:rsidRPr="00087985" w14:paraId="1572BAFB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8D1B7CA" w14:textId="3E6F96CD" w:rsidR="00BB6D9B" w:rsidRPr="00087985" w:rsidRDefault="00BB6D9B" w:rsidP="00BB6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Building Maintenance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486D0" w14:textId="41167434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34CFE0" w14:textId="3B3D0B81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79706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98212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CFAB8E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F53735" w14:textId="04FB6C9A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53D72D" w14:textId="633D12BB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</w:tr>
      <w:tr w:rsidR="00BB6D9B" w:rsidRPr="00087985" w14:paraId="2BB21ADE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AA"/>
            <w:vAlign w:val="center"/>
            <w:hideMark/>
          </w:tcPr>
          <w:p w14:paraId="6D7BFCBB" w14:textId="7D5434D1" w:rsidR="00BB6D9B" w:rsidRPr="00087985" w:rsidRDefault="00BB6D9B" w:rsidP="00BB6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9B9210" w14:textId="6B9EE452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3AAB" w14:textId="1A62383C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BA7734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BF1DD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A7B63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5C3F1C" w14:textId="2BCBBE94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DED36" w14:textId="385CB98B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54%</w:t>
            </w:r>
          </w:p>
        </w:tc>
      </w:tr>
      <w:tr w:rsidR="00BB6D9B" w:rsidRPr="00087985" w14:paraId="62ADE5CC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ABD8000" w14:textId="32F0C764" w:rsidR="00BB6D9B" w:rsidRPr="00087985" w:rsidRDefault="00BB6D9B" w:rsidP="00BB6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Cinema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E4798A" w14:textId="4C7BD360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174813" w14:textId="665EB958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C970" w14:textId="77777777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209192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7D7D9C" w14:textId="77777777" w:rsidR="00BB6D9B" w:rsidRPr="00087985" w:rsidRDefault="00BB6D9B" w:rsidP="00BB6D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88EE8" w14:textId="2C0D01C5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F2DD3" w14:textId="31F55A4F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</w:tr>
      <w:tr w:rsidR="00BB6D9B" w:rsidRPr="00087985" w14:paraId="33F7E430" w14:textId="77777777" w:rsidTr="00BB6D9B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559D66" w14:textId="1E7A8EE3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Quarterly Total: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84272D" w14:textId="483FE73F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£62,000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DFAA03" w14:textId="7FA1ED02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£17,516.45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A0590" w14:textId="7EB3BE68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£0.00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04424C" w14:textId="23161B6E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£0.00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704769" w14:textId="4D383DA5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704CE6" w14:textId="334A480C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£17,516.45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317E2" w14:textId="6ED34B3A" w:rsidR="00BB6D9B" w:rsidRPr="00087985" w:rsidRDefault="00BB6D9B" w:rsidP="00BB6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</w:tbl>
    <w:p w14:paraId="03393D0E" w14:textId="77777777" w:rsidR="00087985" w:rsidRDefault="00087985"/>
    <w:p w14:paraId="0C8F918C" w14:textId="71D3C561" w:rsidR="005A7DFC" w:rsidRDefault="00C81FA3">
      <w:r>
        <w:t xml:space="preserve">Event costs </w:t>
      </w:r>
      <w:r w:rsidR="00843424">
        <w:t>are high</w:t>
      </w:r>
      <w:r w:rsidR="00087985">
        <w:t xml:space="preserve"> this quarter</w:t>
      </w:r>
      <w:r w:rsidR="00843424">
        <w:t xml:space="preserve"> as we have </w:t>
      </w:r>
      <w:r w:rsidR="008A45DC">
        <w:t xml:space="preserve">produced the full </w:t>
      </w:r>
      <w:r w:rsidR="00B3603E">
        <w:t xml:space="preserve">Spring/Summer programme and Wellbeing Fortnight. </w:t>
      </w:r>
    </w:p>
    <w:p w14:paraId="0040404C" w14:textId="77777777" w:rsidR="005A7DFC" w:rsidRDefault="005A7DFC"/>
    <w:p w14:paraId="67D5B9B3" w14:textId="77777777" w:rsidR="005A7DFC" w:rsidRDefault="005A7DFC"/>
    <w:p w14:paraId="7DBE3CB3" w14:textId="5FEFC885" w:rsidR="007D5041" w:rsidRDefault="007D5041"/>
    <w:sectPr w:rsidR="007D5041" w:rsidSect="00EB1C62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523"/>
    <w:multiLevelType w:val="hybridMultilevel"/>
    <w:tmpl w:val="8E8E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945"/>
    <w:multiLevelType w:val="hybridMultilevel"/>
    <w:tmpl w:val="CDBC3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4580"/>
    <w:multiLevelType w:val="hybridMultilevel"/>
    <w:tmpl w:val="81F6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78598">
    <w:abstractNumId w:val="1"/>
  </w:num>
  <w:num w:numId="2" w16cid:durableId="1609508119">
    <w:abstractNumId w:val="0"/>
  </w:num>
  <w:num w:numId="3" w16cid:durableId="196145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7"/>
    <w:rsid w:val="000546DB"/>
    <w:rsid w:val="00087985"/>
    <w:rsid w:val="000A6344"/>
    <w:rsid w:val="000A7386"/>
    <w:rsid w:val="000B0CE3"/>
    <w:rsid w:val="000E075E"/>
    <w:rsid w:val="0019597D"/>
    <w:rsid w:val="00253D6B"/>
    <w:rsid w:val="002741B5"/>
    <w:rsid w:val="003B4121"/>
    <w:rsid w:val="003E5693"/>
    <w:rsid w:val="00571860"/>
    <w:rsid w:val="005A1E4A"/>
    <w:rsid w:val="005A7DFC"/>
    <w:rsid w:val="006969F0"/>
    <w:rsid w:val="006A5BCA"/>
    <w:rsid w:val="007044F6"/>
    <w:rsid w:val="00764975"/>
    <w:rsid w:val="00775663"/>
    <w:rsid w:val="007B365A"/>
    <w:rsid w:val="007C47CE"/>
    <w:rsid w:val="007D5041"/>
    <w:rsid w:val="00827A5A"/>
    <w:rsid w:val="00843424"/>
    <w:rsid w:val="00886BE0"/>
    <w:rsid w:val="008A45DC"/>
    <w:rsid w:val="008E72B8"/>
    <w:rsid w:val="00913D15"/>
    <w:rsid w:val="009F76A7"/>
    <w:rsid w:val="00A24C7D"/>
    <w:rsid w:val="00A54B82"/>
    <w:rsid w:val="00AC505C"/>
    <w:rsid w:val="00B250E4"/>
    <w:rsid w:val="00B3603E"/>
    <w:rsid w:val="00BB6D9B"/>
    <w:rsid w:val="00BD0F19"/>
    <w:rsid w:val="00BD4CEF"/>
    <w:rsid w:val="00C81FA3"/>
    <w:rsid w:val="00CE4BFA"/>
    <w:rsid w:val="00D26C22"/>
    <w:rsid w:val="00D44C4A"/>
    <w:rsid w:val="00E81B8C"/>
    <w:rsid w:val="00EB1C62"/>
    <w:rsid w:val="00EC0CD2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396"/>
  <w15:chartTrackingRefBased/>
  <w15:docId w15:val="{4AD4DEDD-A4F5-4764-8C60-3E87BA3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5A"/>
  </w:style>
  <w:style w:type="paragraph" w:styleId="Heading1">
    <w:name w:val="heading 1"/>
    <w:basedOn w:val="Normal"/>
    <w:next w:val="Normal"/>
    <w:link w:val="Heading1Char"/>
    <w:uiPriority w:val="9"/>
    <w:qFormat/>
    <w:rsid w:val="009F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81B8C"/>
  </w:style>
  <w:style w:type="character" w:customStyle="1" w:styleId="eop">
    <w:name w:val="eop"/>
    <w:basedOn w:val="DefaultParagraphFont"/>
    <w:rsid w:val="00E81B8C"/>
  </w:style>
  <w:style w:type="table" w:styleId="TableGrid">
    <w:name w:val="Table Grid"/>
    <w:basedOn w:val="TableNormal"/>
    <w:uiPriority w:val="39"/>
    <w:rsid w:val="0082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560</Words>
  <Characters>3187</Characters>
  <Application>Microsoft Office Word</Application>
  <DocSecurity>0</DocSecurity>
  <Lines>144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15</cp:revision>
  <dcterms:created xsi:type="dcterms:W3CDTF">2025-07-01T09:55:00Z</dcterms:created>
  <dcterms:modified xsi:type="dcterms:W3CDTF">2025-07-03T21:27:00Z</dcterms:modified>
</cp:coreProperties>
</file>